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7B" w:rsidRPr="00B5053A" w:rsidRDefault="00DF7F7B" w:rsidP="0097100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B5053A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Об утверждении Положения о предоставлении лицом, поступающим на работу на должность руководителя муниципального учреждения, и руководителем муниципального учреждения сведений о доходах, об имуществе и обязательствах имущ</w:t>
      </w:r>
      <w:r w:rsidR="00971009" w:rsidRPr="00B5053A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ественного характера и формы</w:t>
      </w:r>
      <w:proofErr w:type="gramStart"/>
      <w:r w:rsidR="00971009" w:rsidRPr="00B5053A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 xml:space="preserve"> ..</w:t>
      </w:r>
      <w:proofErr w:type="gramEnd"/>
      <w:r w:rsidRPr="00B50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АДМИНИСТРАЦИЯ ВЕРЕТЕНИНСКОГО СЕЛЬСОВЕТА</w:t>
      </w:r>
    </w:p>
    <w:p w:rsidR="00DF7F7B" w:rsidRPr="00E31A77" w:rsidRDefault="00DF7F7B" w:rsidP="00971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ЖЕЛЕЗНОГОРСКОГО РАЙОНА КУРСКОЙ ОБЛАСТИ</w:t>
      </w:r>
      <w:r w:rsidRPr="00B50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50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ПОСТАНОВЛЕНИЕ</w:t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5053A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5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N </w:t>
      </w:r>
      <w:r w:rsidR="00B5053A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1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о предоставлении лицом, поступающим на работу на должность руководителя муниципального учреждения </w:t>
      </w:r>
      <w:proofErr w:type="spellStart"/>
      <w:r w:rsidR="00E31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Веретенинского</w:t>
      </w:r>
      <w:proofErr w:type="spellEnd"/>
      <w:r w:rsidR="00E31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="00E31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Железногорского</w:t>
      </w:r>
      <w:proofErr w:type="spellEnd"/>
      <w:r w:rsidR="00E31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</w:t>
      </w:r>
      <w:r w:rsidR="00D11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а также руководителем муниципального учреждения </w:t>
      </w:r>
      <w:proofErr w:type="spellStart"/>
      <w:r w:rsidR="00D11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Веретенинского</w:t>
      </w:r>
      <w:proofErr w:type="spellEnd"/>
      <w:r w:rsidR="00D11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="00D11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Железногорского</w:t>
      </w:r>
      <w:proofErr w:type="spellEnd"/>
      <w:r w:rsidR="00D11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</w:t>
      </w:r>
      <w:r w:rsidR="00D11CBF" w:rsidRPr="00E31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1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1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 о доходах, об имуществе и обязательствах имущественного характера и формы справки о доходах, расходах, об имуществе и обязательствах имущественного характера супруги (супруга) и несовершеннолетних детей</w:t>
      </w:r>
    </w:p>
    <w:p w:rsidR="00971009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5" w:history="1">
        <w:r w:rsidRPr="00E31A7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8 Федерального закона от 25.12.2008 г. N 273-ФЗ "О противодействии коррупции"</w:t>
        </w:r>
      </w:hyperlink>
      <w:r w:rsidRP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</w:t>
      </w:r>
      <w:hyperlink r:id="rId6" w:history="1">
        <w:r w:rsidRPr="00E31A7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275 Трудового кодекса Российской Федерации</w:t>
        </w:r>
      </w:hyperlink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1C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06.10.2003 года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D11C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D11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D11CB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D11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</w:t>
      </w:r>
      <w:r w:rsidR="00971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71009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  <w:r w:rsidR="00971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0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</w:t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представлении лицом, поступающим на работу на должность руководителя муниципального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="00D11CB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руководителем муниципального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1C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D11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D11CB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D11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="00D11CBF"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сведений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приложения №1.(прилагается).</w:t>
      </w:r>
    </w:p>
    <w:p w:rsidR="00971009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</w:t>
      </w:r>
      <w:r w:rsidR="00B5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справки о доходах, расходах, об имуществе и обязательствах имущественного характера, установленной для предоставления сведений о доходах, об имуществе и обязательствах имущественного характера гражданами - при назначении на должность руководителя муниципального учреждения для предоставления сведений о доходах, об имуществе и обязательствах имущественного характера руководителей муниципальных учреждений, согласно </w:t>
      </w:r>
      <w:hyperlink r:id="rId7" w:history="1">
        <w:r w:rsidRPr="00E31A7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приложению </w:t>
        </w:r>
        <w:r w:rsidR="00E31A77" w:rsidRPr="00E31A7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№</w:t>
        </w:r>
        <w:r w:rsidRPr="00E31A7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2 </w:t>
        </w:r>
      </w:hyperlink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(прилагается)</w:t>
      </w:r>
      <w:r w:rsidRP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71009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Постановление Администрации </w:t>
      </w:r>
      <w:proofErr w:type="spellStart"/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№ 11 от 15 февраля 2013 года «</w:t>
      </w:r>
      <w:r w:rsidR="00E31A77"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предоставлении лицом, поступающим на работу на должность руководителя муниципального учреждения</w:t>
      </w:r>
      <w:r w:rsidR="00D11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руководителем муниципального учреждения </w:t>
      </w:r>
      <w:proofErr w:type="spellStart"/>
      <w:r w:rsidR="00D11C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D11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D11CB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D11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="00D11CBF"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A77"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сведений о доходах, об имуществе и обязательствах имущественного характера и формы справки о доходах, </w:t>
      </w:r>
      <w:r w:rsidR="00E31A77"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расходах, об имуществе и обязательствах имущественного характера</w:t>
      </w:r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супруги (супруга) и несовершеннолетних детей»</w:t>
      </w:r>
    </w:p>
    <w:p w:rsidR="00E31A77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Настоящее Постановление вступает в силу со дня его официального опубликования</w:t>
      </w:r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газете </w:t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на официальном сайте Администрации </w:t>
      </w:r>
      <w:proofErr w:type="spellStart"/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Интернет.</w:t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Контроль за исполнением настоящего Постановления возложить </w:t>
      </w:r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Главы </w:t>
      </w:r>
      <w:proofErr w:type="spellStart"/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spellStart"/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Ведекнину</w:t>
      </w:r>
      <w:proofErr w:type="spellEnd"/>
      <w:r w:rsidR="00E3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:rsidR="00E31A77" w:rsidRPr="00B5053A" w:rsidRDefault="00DF7F7B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1A77" w:rsidRPr="00B50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spellStart"/>
      <w:r w:rsidR="00E31A77" w:rsidRPr="00B50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Веретенинского</w:t>
      </w:r>
      <w:proofErr w:type="spellEnd"/>
      <w:r w:rsidR="00E31A77" w:rsidRPr="00B50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:rsidR="00B5053A" w:rsidRPr="00B5053A" w:rsidRDefault="00E31A77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50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Железногорского</w:t>
      </w:r>
      <w:proofErr w:type="spellEnd"/>
      <w:r w:rsidRPr="00B50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                                                            Е.М. </w:t>
      </w:r>
      <w:proofErr w:type="spellStart"/>
      <w:r w:rsidRPr="00B50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Косинова</w:t>
      </w:r>
      <w:proofErr w:type="spellEnd"/>
      <w:r w:rsidRPr="00B50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5053A" w:rsidRPr="00B5053A" w:rsidRDefault="00B5053A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53A" w:rsidRDefault="00B5053A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53A" w:rsidRDefault="00B5053A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53A" w:rsidRDefault="00B5053A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53A" w:rsidRDefault="00B5053A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53A" w:rsidRDefault="00B5053A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53A" w:rsidRDefault="00B5053A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53A" w:rsidRDefault="00B5053A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53A" w:rsidRDefault="00B5053A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53A" w:rsidRDefault="00B5053A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53A" w:rsidRDefault="00B5053A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53A" w:rsidRDefault="00B5053A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53A" w:rsidRDefault="00B5053A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53A" w:rsidRDefault="00B5053A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53A" w:rsidRDefault="00B5053A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53A" w:rsidRDefault="00B5053A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F7B" w:rsidRPr="00DF7F7B" w:rsidRDefault="00DF7F7B" w:rsidP="00E31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1A77" w:rsidRPr="00B5053A" w:rsidRDefault="00E31A77" w:rsidP="00E31A77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0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№1 </w:t>
      </w:r>
    </w:p>
    <w:p w:rsidR="00E31A77" w:rsidRPr="00B5053A" w:rsidRDefault="00E31A77" w:rsidP="00E31A77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0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proofErr w:type="spellStart"/>
      <w:r w:rsidRPr="00B50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Постаовлению</w:t>
      </w:r>
      <w:proofErr w:type="spellEnd"/>
      <w:r w:rsidRPr="00B50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B5053A" w:rsidRPr="00B50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81</w:t>
      </w:r>
    </w:p>
    <w:p w:rsidR="00E31A77" w:rsidRPr="00E31A77" w:rsidRDefault="00E31A77" w:rsidP="00E31A77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="00B5053A" w:rsidRPr="00B50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B50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B5053A" w:rsidRPr="00B50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06 .</w:t>
      </w:r>
      <w:r w:rsidRPr="00B50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E31A77" w:rsidRDefault="00D11CBF" w:rsidP="00E31A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 w:rsidR="00DF7F7B" w:rsidRPr="00E31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bookmarkStart w:id="0" w:name="_GoBack"/>
      <w:bookmarkEnd w:id="0"/>
    </w:p>
    <w:p w:rsidR="00D11CBF" w:rsidRDefault="00DF7F7B" w:rsidP="00D11C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представлении лицом, поступающим на работу на должность руководителя муниципального учреждения</w:t>
      </w:r>
      <w:r w:rsidR="00E31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31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Веретенинского</w:t>
      </w:r>
      <w:proofErr w:type="spellEnd"/>
      <w:r w:rsidR="00E31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 w:rsidR="00E31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Железногорского</w:t>
      </w:r>
      <w:proofErr w:type="spellEnd"/>
      <w:r w:rsidR="00E31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Курской области </w:t>
      </w:r>
      <w:r w:rsidRPr="00E31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D11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 также руководителем муниципального учреждения </w:t>
      </w:r>
      <w:r w:rsidRPr="00E31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руководителем муниципального учреждения</w:t>
      </w:r>
      <w:r w:rsidR="00D11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D11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Веретенинского</w:t>
      </w:r>
      <w:proofErr w:type="spellEnd"/>
      <w:r w:rsidR="00D11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 w:rsidR="00D11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Железногорского</w:t>
      </w:r>
      <w:proofErr w:type="spellEnd"/>
      <w:r w:rsidR="00D11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Курской области</w:t>
      </w:r>
      <w:r w:rsidRPr="00E31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сведений о </w:t>
      </w:r>
      <w:r w:rsidR="00D11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своих </w:t>
      </w:r>
      <w:r w:rsidRPr="00E31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доходах, об имуществе и обязательствах имущественного характера и о </w:t>
      </w:r>
      <w:r w:rsidR="00D11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доходах об имуществе и обязательствах имущественного характера супруги (супруга) и несовершеннолетних детей</w:t>
      </w:r>
    </w:p>
    <w:p w:rsidR="00EF7E16" w:rsidRDefault="00DF7F7B" w:rsidP="00D11C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Настоящее Положение разработано в соответствии со </w:t>
      </w:r>
      <w:hyperlink r:id="rId8" w:history="1">
        <w:r w:rsidRPr="00DF7F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275 Трудового кодекса Российской Федерации</w:t>
        </w:r>
      </w:hyperlink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F7E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F7E16" w:rsidRDefault="00EF7E16" w:rsidP="00D11C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1.Лицо, поступающее на работу на должность руководителя муниципального учреждения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, а также руководитель муниципального учреждения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обязаны предоставлять работодателю в письменной форме сведения о своих доходах, об имуществе и обязательствах имущественного характера и о доходах , об имуществе и обязательствах имущественного характера супруги (супруга)  и несовершеннолетних детей (далее – сведения о доходах, об имуществе и обязательствах имущественного характера.</w:t>
      </w:r>
    </w:p>
    <w:p w:rsidR="00EF7E16" w:rsidRDefault="00EF7E16" w:rsidP="00D11C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2.Сведения о доходах, об имуществе и обязательствах имущественного характера предоставляются руководителем муниципального учреждения по утвержденным справкам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позднее 01 апреля 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 за отчетным.</w:t>
      </w:r>
    </w:p>
    <w:p w:rsidR="00EF7E16" w:rsidRDefault="00EF7E16" w:rsidP="00D11C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3.Лицо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поступающее на работу на должность руководителя учреждения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предоставляет:</w:t>
      </w:r>
    </w:p>
    <w:p w:rsidR="00EF7E16" w:rsidRDefault="00EF7E16" w:rsidP="00D11C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</w:t>
      </w:r>
      <w:r w:rsidR="00BB2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для поступления на работу на должность руководителя  муниципального учреждения </w:t>
      </w:r>
      <w:proofErr w:type="spellStart"/>
      <w:r w:rsidR="00BB29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BB2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BB29C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BB2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области, а также сведения об имуществе, принадлежащем ему на праве собственности и о своих обязательствах имущественного характера по состоянию на первое число  месяца, предшествующего месяцу подачи документов для поступления на работу на должность руководителя (на отчетную дату);</w:t>
      </w:r>
    </w:p>
    <w:p w:rsidR="00BB29CE" w:rsidRDefault="00BB29CE" w:rsidP="00D11C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доходах супруги (супруга) и несовершеннолетних детей, полученных от всех от всех источников)</w:t>
      </w:r>
      <w:r w:rsidRPr="00BB2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 включая заработную плату, пенсии, пособия, иные выплаты )за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календарный год , предшествующий году подачи лицом документов для поступления на работу на должность руководителя, а также сведения об имуществе, принадлежащем на праве собственности, об их обязательствах имущественного характера по состоянию на первое число для поступления на работу на должность руководителя (на отчетную дату).</w:t>
      </w:r>
    </w:p>
    <w:p w:rsidR="00BB29CE" w:rsidRDefault="00BB29CE" w:rsidP="00D11C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4.Руководитель муниципального учреждения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 представляет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92DB7" w:rsidRDefault="00BB29CE" w:rsidP="00D11C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4.1.сведения о своих доходах, полученных за отчетный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января по 31 декабря) от всех источников (  включая заработную плату, пенсии, пособия, иные выплаты), а также сведения об имуществе и обязательствах иму</w:t>
      </w:r>
      <w:r w:rsidR="00E92DB7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ественн</w:t>
      </w:r>
      <w:r w:rsidR="00E92DB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характера по состоянию на конец отчетного периода;</w:t>
      </w:r>
    </w:p>
    <w:p w:rsidR="00E92DB7" w:rsidRDefault="00E92DB7" w:rsidP="00D11C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сведения о доходах супруги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супруга)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 детей, полученных за отчетный период  с 1 января по 31 декабря) от всех источников (  включая заработную плату, пенсии, пособия, иные выплаты), а также сведения об имуществе и обязательствах имущественного характера по состоянию на конец отчетного периода.</w:t>
      </w:r>
    </w:p>
    <w:p w:rsidR="00E92DB7" w:rsidRDefault="00E92DB7" w:rsidP="00D11C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случае, если руководитель муниципального учреждения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обнаружил, что в представленных им сведениях о доходах, об имуществе и обязательствах имущественного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 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отражены или не полностью отражены какие-либо сведения, либо имеются ошибки, он вправе представить уточненные сведения </w:t>
      </w:r>
      <w:r w:rsidRPr="00E92D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течении одного месяца со дня предоставления сведений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 за отчетным периодом.</w:t>
      </w:r>
    </w:p>
    <w:p w:rsidR="0014701E" w:rsidRDefault="00E92DB7" w:rsidP="00D11C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Такие уточненные сведения не считаются представленными с нарушением срока.</w:t>
      </w:r>
    </w:p>
    <w:p w:rsidR="0014701E" w:rsidRPr="003E6117" w:rsidRDefault="0014701E" w:rsidP="00D11CBF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  <w:bCs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Руководители муниципальных учреждения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 представляют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</w:r>
      <w:r w:rsidRPr="003E6117">
        <w:rPr>
          <w:rFonts w:ascii="Arial" w:hAnsi="Arial" w:cs="Arial"/>
          <w:bCs/>
          <w:i/>
          <w:color w:val="000000"/>
        </w:rPr>
        <w:t>за календарный год, предшествующий году подачи документов для поступления на работу</w:t>
      </w:r>
      <w:r w:rsidRPr="003E6117">
        <w:rPr>
          <w:rFonts w:ascii="Arial" w:hAnsi="Arial" w:cs="Arial"/>
          <w:bCs/>
          <w:color w:val="000000"/>
        </w:rPr>
        <w:t>.</w:t>
      </w:r>
    </w:p>
    <w:p w:rsidR="0014701E" w:rsidRDefault="0014701E" w:rsidP="00D11C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1E">
        <w:rPr>
          <w:rFonts w:ascii="Arial" w:hAnsi="Arial" w:cs="Arial"/>
          <w:bCs/>
          <w:color w:val="000000"/>
        </w:rPr>
        <w:t xml:space="preserve">7. Проверка достоверности и полноты сведений о доходах, об имуществе и обязательствах </w:t>
      </w:r>
      <w:proofErr w:type="gramStart"/>
      <w:r w:rsidRPr="0014701E">
        <w:rPr>
          <w:rFonts w:ascii="Arial" w:hAnsi="Arial" w:cs="Arial"/>
          <w:bCs/>
          <w:color w:val="000000"/>
        </w:rPr>
        <w:t xml:space="preserve">имущественного </w:t>
      </w:r>
      <w:r>
        <w:rPr>
          <w:rFonts w:ascii="Arial" w:hAnsi="Arial" w:cs="Arial"/>
          <w:bCs/>
          <w:color w:val="000000"/>
        </w:rPr>
        <w:t xml:space="preserve"> характера</w:t>
      </w:r>
      <w:proofErr w:type="gramEnd"/>
      <w:r>
        <w:rPr>
          <w:rFonts w:ascii="Arial" w:hAnsi="Arial" w:cs="Arial"/>
          <w:bCs/>
          <w:color w:val="000000"/>
        </w:rPr>
        <w:t xml:space="preserve">, представленных лицом, поступающим на работу на должность руководителя муниципального учреждения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, а также руководителем муниципального учреждения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осуществляется в соответствии с законодательством Российской Федерации.</w:t>
      </w:r>
    </w:p>
    <w:p w:rsidR="00DF7F7B" w:rsidRDefault="0014701E" w:rsidP="00D11C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Сведения о доходах, об имуществе и обязательствах имущественного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предоставляемые лицом, поступающим на работу на должность руководителя </w:t>
      </w:r>
      <w:r>
        <w:rPr>
          <w:rFonts w:ascii="Arial" w:hAnsi="Arial" w:cs="Arial"/>
          <w:bCs/>
          <w:color w:val="000000"/>
        </w:rPr>
        <w:t xml:space="preserve">муниципального учреждения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, а также руководителем муниципального учреждения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в соответствии с настоящим Положением, являются сведениями конфиденциального характера.</w:t>
      </w:r>
      <w:r w:rsidRPr="0014701E">
        <w:rPr>
          <w:rFonts w:ascii="Arial" w:hAnsi="Arial" w:cs="Arial"/>
          <w:bCs/>
          <w:color w:val="000000"/>
        </w:rPr>
        <w:br/>
      </w:r>
      <w:r w:rsidRPr="0014701E">
        <w:rPr>
          <w:rFonts w:ascii="Arial" w:hAnsi="Arial" w:cs="Arial"/>
          <w:bCs/>
          <w:color w:val="000000"/>
        </w:rPr>
        <w:br/>
      </w:r>
      <w:r w:rsidR="00DF7F7B" w:rsidRPr="0014701E">
        <w:rPr>
          <w:rFonts w:ascii="Times New Roman" w:eastAsia="Times New Roman" w:hAnsi="Times New Roman" w:cs="Times New Roman"/>
          <w:lang w:eastAsia="ru-RU"/>
        </w:rPr>
        <w:br/>
      </w:r>
    </w:p>
    <w:p w:rsidR="00B5053A" w:rsidRPr="0014701E" w:rsidRDefault="00B5053A" w:rsidP="00D11C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14701E" w:rsidRDefault="0014701E" w:rsidP="0014701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Приложение №2 </w:t>
      </w:r>
    </w:p>
    <w:p w:rsidR="0014701E" w:rsidRDefault="0014701E" w:rsidP="0014701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 Постановлению </w:t>
      </w:r>
    </w:p>
    <w:p w:rsidR="00DF7F7B" w:rsidRPr="00DF7F7B" w:rsidRDefault="0014701E" w:rsidP="0014701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 «</w:t>
      </w:r>
      <w:r w:rsidR="00B505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09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="00B505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06 .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2016 г. №</w:t>
      </w:r>
      <w:r w:rsidR="00B505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81</w:t>
      </w:r>
    </w:p>
    <w:tbl>
      <w:tblPr>
        <w:tblpPr w:leftFromText="36" w:rightFromText="36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2"/>
        <w:gridCol w:w="584"/>
        <w:gridCol w:w="3349"/>
        <w:gridCol w:w="2577"/>
        <w:gridCol w:w="253"/>
      </w:tblGrid>
      <w:tr w:rsidR="00DF7F7B" w:rsidRPr="00DF7F7B" w:rsidTr="00DF7F7B">
        <w:trPr>
          <w:gridAfter w:val="1"/>
          <w:wAfter w:w="435" w:type="dxa"/>
          <w:trHeight w:val="12"/>
          <w:tblCellSpacing w:w="15" w:type="dxa"/>
        </w:trPr>
        <w:tc>
          <w:tcPr>
            <w:tcW w:w="535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gridAfter w:val="1"/>
          <w:wAfter w:w="435" w:type="dxa"/>
          <w:tblCellSpacing w:w="15" w:type="dxa"/>
        </w:trPr>
        <w:tc>
          <w:tcPr>
            <w:tcW w:w="535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535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наименование органа МСУ)</w:t>
            </w:r>
          </w:p>
        </w:tc>
        <w:tc>
          <w:tcPr>
            <w:tcW w:w="5359" w:type="dxa"/>
            <w:gridSpan w:val="2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Справка (</w:t>
      </w:r>
      <w:proofErr w:type="gramStart"/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доходах, расходах, об имуществе и обязательствах имущественного характера (2) </w:t>
      </w:r>
    </w:p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8764"/>
      </w:tblGrid>
      <w:tr w:rsidR="00DF7F7B" w:rsidRPr="00DF7F7B" w:rsidTr="00DF7F7B">
        <w:trPr>
          <w:trHeight w:val="12"/>
          <w:tblCellSpacing w:w="15" w:type="dxa"/>
        </w:trPr>
        <w:tc>
          <w:tcPr>
            <w:tcW w:w="554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3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1127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"/>
        <w:gridCol w:w="9158"/>
      </w:tblGrid>
      <w:tr w:rsidR="00DF7F7B" w:rsidRPr="00DF7F7B" w:rsidTr="00DF7F7B">
        <w:trPr>
          <w:trHeight w:val="12"/>
          <w:tblCellSpacing w:w="15" w:type="dxa"/>
        </w:trPr>
        <w:tc>
          <w:tcPr>
            <w:tcW w:w="185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2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85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 применимо)</w:t>
      </w:r>
    </w:p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зарегистрированный по адресу: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F7F7B" w:rsidRPr="00DF7F7B" w:rsidTr="00DF7F7B">
        <w:trPr>
          <w:trHeight w:val="12"/>
          <w:tblCellSpacing w:w="15" w:type="dxa"/>
        </w:trPr>
        <w:tc>
          <w:tcPr>
            <w:tcW w:w="11827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регистрации)</w:t>
      </w:r>
    </w:p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сообщаю сведения о доходах, расходах своих супруги (супруга), несовершеннолетнего ребенка (нужное подчеркнуть)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F7F7B" w:rsidRPr="00DF7F7B" w:rsidTr="00DF7F7B">
        <w:trPr>
          <w:trHeight w:val="12"/>
          <w:tblCellSpacing w:w="15" w:type="dxa"/>
        </w:trPr>
        <w:tc>
          <w:tcPr>
            <w:tcW w:w="11827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год рождения, серия и номер паспорта, дата выдачи и орган, выдавший паспорт)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"/>
        <w:gridCol w:w="9158"/>
      </w:tblGrid>
      <w:tr w:rsidR="00DF7F7B" w:rsidRPr="00DF7F7B" w:rsidTr="00DF7F7B">
        <w:trPr>
          <w:trHeight w:val="12"/>
          <w:tblCellSpacing w:w="15" w:type="dxa"/>
        </w:trPr>
        <w:tc>
          <w:tcPr>
            <w:tcW w:w="185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2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85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регистрации, основное место работы (службы), занимаемая (замещаемая) должность)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F7F7B" w:rsidRPr="00DF7F7B" w:rsidTr="00DF7F7B">
        <w:trPr>
          <w:trHeight w:val="12"/>
          <w:tblCellSpacing w:w="15" w:type="dxa"/>
        </w:trPr>
        <w:tc>
          <w:tcPr>
            <w:tcW w:w="11642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64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отсутствия основного места работы (службы) - род занятий)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"/>
        <w:gridCol w:w="2752"/>
        <w:gridCol w:w="677"/>
        <w:gridCol w:w="640"/>
        <w:gridCol w:w="1639"/>
        <w:gridCol w:w="677"/>
        <w:gridCol w:w="540"/>
        <w:gridCol w:w="2228"/>
      </w:tblGrid>
      <w:tr w:rsidR="00DF7F7B" w:rsidRPr="00DF7F7B" w:rsidTr="00DF7F7B">
        <w:trPr>
          <w:trHeight w:val="12"/>
          <w:tblCellSpacing w:w="15" w:type="dxa"/>
        </w:trPr>
        <w:tc>
          <w:tcPr>
            <w:tcW w:w="185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85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с 1 января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31 декабря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имуществе,</w:t>
            </w: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принадлежащим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F7F7B" w:rsidRPr="00DF7F7B" w:rsidTr="00DF7F7B">
        <w:trPr>
          <w:trHeight w:val="12"/>
          <w:tblCellSpacing w:w="15" w:type="dxa"/>
        </w:trPr>
        <w:tc>
          <w:tcPr>
            <w:tcW w:w="11827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праве собственности, о вкладах в банках, ценных бумагах, об обязательствах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7"/>
        <w:gridCol w:w="426"/>
        <w:gridCol w:w="599"/>
        <w:gridCol w:w="426"/>
        <w:gridCol w:w="1839"/>
        <w:gridCol w:w="578"/>
        <w:gridCol w:w="486"/>
        <w:gridCol w:w="674"/>
      </w:tblGrid>
      <w:tr w:rsidR="00DF7F7B" w:rsidRPr="00DF7F7B" w:rsidTr="00DF7F7B">
        <w:trPr>
          <w:trHeight w:val="12"/>
          <w:tblCellSpacing w:w="15" w:type="dxa"/>
        </w:trPr>
        <w:tc>
          <w:tcPr>
            <w:tcW w:w="572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имущественного характера по состоянию на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5915"/>
        <w:gridCol w:w="2565"/>
      </w:tblGrid>
      <w:tr w:rsidR="00DF7F7B" w:rsidRPr="00DF7F7B" w:rsidTr="00DF7F7B">
        <w:trPr>
          <w:trHeight w:val="12"/>
          <w:tblCellSpacing w:w="15" w:type="dxa"/>
        </w:trPr>
        <w:tc>
          <w:tcPr>
            <w:tcW w:w="924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201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Сведения о доходах (3)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дохода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дохода (</w:t>
            </w:r>
            <w:proofErr w:type="gramStart"/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рублей)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по основному месту работы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от педагогической и научной деятельности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от иной творческой деятельности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от вкладов в банках и иных кредитных организациях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от ценных бумаг и долей участия в коммерческих организациях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доход за отчетный период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2706"/>
        <w:gridCol w:w="1465"/>
        <w:gridCol w:w="2500"/>
        <w:gridCol w:w="1986"/>
      </w:tblGrid>
      <w:tr w:rsidR="00DF7F7B" w:rsidRPr="00DF7F7B" w:rsidTr="00DF7F7B">
        <w:trPr>
          <w:trHeight w:val="12"/>
          <w:tblCellSpacing w:w="15" w:type="dxa"/>
        </w:trPr>
        <w:tc>
          <w:tcPr>
            <w:tcW w:w="554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219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Сведения о расходах (5)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приобретенного имущества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сделки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получения средств, за счет которых приобретено имущество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 (6)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средства: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1979"/>
        <w:gridCol w:w="1857"/>
        <w:gridCol w:w="1676"/>
        <w:gridCol w:w="1311"/>
        <w:gridCol w:w="1835"/>
      </w:tblGrid>
      <w:tr w:rsidR="00DF7F7B" w:rsidRPr="00DF7F7B" w:rsidTr="00DF7F7B">
        <w:trPr>
          <w:trHeight w:val="12"/>
          <w:tblCellSpacing w:w="15" w:type="dxa"/>
        </w:trPr>
        <w:tc>
          <w:tcPr>
            <w:tcW w:w="554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256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Сведения об имуществе</w:t>
            </w:r>
            <w:r w:rsidRPr="00DF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DF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3.1. Недвижимое имущество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п/п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и наименование имущества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 (7)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 и источник средств (8)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(9): 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дачи: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3814"/>
        <w:gridCol w:w="2495"/>
        <w:gridCol w:w="2307"/>
      </w:tblGrid>
      <w:tr w:rsidR="00DF7F7B" w:rsidRPr="00DF7F7B" w:rsidTr="00DF7F7B">
        <w:trPr>
          <w:trHeight w:val="12"/>
          <w:tblCellSpacing w:w="15" w:type="dxa"/>
        </w:trPr>
        <w:tc>
          <w:tcPr>
            <w:tcW w:w="73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 Транспортные средства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Вид, марка, модель транспортного средства, год изготовления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 (10)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регистрации 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средства: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</w:t>
            </w: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2381"/>
        <w:gridCol w:w="1429"/>
        <w:gridCol w:w="1454"/>
        <w:gridCol w:w="1366"/>
        <w:gridCol w:w="1998"/>
      </w:tblGrid>
      <w:tr w:rsidR="00DF7F7B" w:rsidRPr="00DF7F7B" w:rsidTr="00DF7F7B">
        <w:trPr>
          <w:trHeight w:val="12"/>
          <w:tblCellSpacing w:w="15" w:type="dxa"/>
        </w:trPr>
        <w:tc>
          <w:tcPr>
            <w:tcW w:w="73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Сведения о счетах в банках и иных кредитных организациях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адрес банка или иной кредитной организации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валюта счета (11)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открытия счета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счете (12) (руб.)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поступивших на счет денежных средств (13) (руб.)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2340"/>
        <w:gridCol w:w="1741"/>
        <w:gridCol w:w="1617"/>
        <w:gridCol w:w="1320"/>
        <w:gridCol w:w="1620"/>
      </w:tblGrid>
      <w:tr w:rsidR="00DF7F7B" w:rsidRPr="00DF7F7B" w:rsidTr="00DF7F7B">
        <w:trPr>
          <w:trHeight w:val="12"/>
          <w:tblCellSpacing w:w="15" w:type="dxa"/>
        </w:trPr>
        <w:tc>
          <w:tcPr>
            <w:tcW w:w="73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219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Сведения о ценных бумагах</w:t>
            </w:r>
            <w:r w:rsidRPr="00DF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DF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5.1. Акции и иное участие в коммерческих организациях и фондах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 (14)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организации (адрес)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 (15) (руб.)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 (16)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участия (17)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1218"/>
        <w:gridCol w:w="2044"/>
        <w:gridCol w:w="2134"/>
        <w:gridCol w:w="1621"/>
        <w:gridCol w:w="1616"/>
      </w:tblGrid>
      <w:tr w:rsidR="00DF7F7B" w:rsidRPr="00DF7F7B" w:rsidTr="00DF7F7B">
        <w:trPr>
          <w:trHeight w:val="12"/>
          <w:tblCellSpacing w:w="15" w:type="dxa"/>
        </w:trPr>
        <w:tc>
          <w:tcPr>
            <w:tcW w:w="73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5.2. Иные ценные бумаги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 (18)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выпустившее ценную бумагу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 (руб.)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(19) (руб.)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Итого по разделу 5 "Сведения о ценных бумагах" суммарная декларированная стоимость ценных бумаг, включая доли участия в коммерческих организациях (руб.),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F7F7B" w:rsidRPr="00DF7F7B" w:rsidTr="00DF7F7B">
        <w:trPr>
          <w:trHeight w:val="12"/>
          <w:tblCellSpacing w:w="15" w:type="dxa"/>
        </w:trPr>
        <w:tc>
          <w:tcPr>
            <w:tcW w:w="11827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18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1571"/>
        <w:gridCol w:w="1734"/>
        <w:gridCol w:w="1734"/>
        <w:gridCol w:w="1992"/>
        <w:gridCol w:w="1608"/>
      </w:tblGrid>
      <w:tr w:rsidR="00DF7F7B" w:rsidRPr="00DF7F7B" w:rsidTr="00DF7F7B">
        <w:trPr>
          <w:trHeight w:val="12"/>
          <w:tblCellSpacing w:w="15" w:type="dxa"/>
        </w:trPr>
        <w:tc>
          <w:tcPr>
            <w:tcW w:w="73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256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Сведения об обязательствах имущественного характера</w:t>
            </w:r>
            <w:r w:rsidRPr="00DF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DF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6.1. Объекты недвижимого имущества, находящиеся в пользовании(20)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 (21)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срок пользования (22)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 (23)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м.)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1642"/>
        <w:gridCol w:w="1314"/>
        <w:gridCol w:w="1743"/>
        <w:gridCol w:w="2333"/>
        <w:gridCol w:w="1657"/>
      </w:tblGrid>
      <w:tr w:rsidR="00DF7F7B" w:rsidRPr="00DF7F7B" w:rsidTr="00DF7F7B">
        <w:trPr>
          <w:trHeight w:val="12"/>
          <w:tblCellSpacing w:w="15" w:type="dxa"/>
        </w:trPr>
        <w:tc>
          <w:tcPr>
            <w:tcW w:w="73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201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6.2. Срочные обязательства финансового характера (24)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п/п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 (25)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 (26)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 (27)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обязательства/размер обязательства по состоянию на отчетную дату (28) (руб.)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обязательства (29)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Достоверность и полноту настоящих сведений подтверждаю.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90"/>
        <w:gridCol w:w="426"/>
        <w:gridCol w:w="1569"/>
        <w:gridCol w:w="686"/>
        <w:gridCol w:w="590"/>
        <w:gridCol w:w="544"/>
        <w:gridCol w:w="4509"/>
      </w:tblGrid>
      <w:tr w:rsidR="00DF7F7B" w:rsidRPr="00DF7F7B" w:rsidTr="00DF7F7B">
        <w:trPr>
          <w:trHeight w:val="12"/>
          <w:tblCellSpacing w:w="15" w:type="dxa"/>
        </w:trPr>
        <w:tc>
          <w:tcPr>
            <w:tcW w:w="370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vAlign w:val="center"/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лица, представляющего сведения)</w:t>
            </w:r>
          </w:p>
        </w:tc>
      </w:tr>
      <w:tr w:rsidR="00DF7F7B" w:rsidRPr="00DF7F7B" w:rsidTr="00DF7F7B">
        <w:trPr>
          <w:tblCellSpacing w:w="15" w:type="dxa"/>
        </w:trPr>
        <w:tc>
          <w:tcPr>
            <w:tcW w:w="12012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F7B" w:rsidRPr="00DF7F7B" w:rsidTr="00DF7F7B">
        <w:trPr>
          <w:tblCellSpacing w:w="15" w:type="dxa"/>
        </w:trPr>
        <w:tc>
          <w:tcPr>
            <w:tcW w:w="12012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F7F7B" w:rsidRPr="00DF7F7B" w:rsidRDefault="00DF7F7B" w:rsidP="00E31A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и подпись лица, принявшего справку)</w:t>
            </w:r>
          </w:p>
        </w:tc>
      </w:tr>
    </w:tbl>
    <w:p w:rsidR="00DF7F7B" w:rsidRPr="00DF7F7B" w:rsidRDefault="00DF7F7B" w:rsidP="00E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-------------------------------------- </w:t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t>(1)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(2)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должности, отдельно на себя, на супругу (супруга) и на каждого несовершеннолетнего ребенка.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(3) Указываются доходы (включая пенсии, пособия, иные выплаты) за отчетный период.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(4) Доход, полученный в иностранной валюте, указывается в рублях по курсу Банка России на дату получения дохода.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(5) Сведения о расходах представляются в случаях, установленных </w:t>
      </w:r>
      <w:hyperlink r:id="rId9" w:history="1">
        <w:r w:rsidRPr="0097100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статьей 3 Федерального закона от 03 декабря 2012 г. N 230-ФЗ "О контроле за соответствием расходов лиц, замещающих государственные должности, и иных лиц их доходам"</w:t>
        </w:r>
      </w:hyperlink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Если правовые основания для представления указанных сведений отсутствуют, данный раздел не заполняется. 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(6)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справки.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(7)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(8)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</w:t>
      </w:r>
      <w:hyperlink r:id="rId10" w:history="1">
        <w:r w:rsidRPr="0097100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статьи 4 Федерального закона от 07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t>, источник получения средств, за счет которых приобретено имущество.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(9)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(10)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указывается доля лица, сведения об имуществе которого представляются.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br/>
        <w:t>(11) Указываются вид счета (депозитный, текущий, расчетный, ссудный и другие) и валюта счета.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(12)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 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(13)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отчётную дату. 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(14)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(15) Уставной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уставной капитал указывается в рублях по курсу Банка России на отчетную </w:t>
      </w:r>
      <w:proofErr w:type="gramStart"/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дату.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</w:t>
      </w:r>
      <w:proofErr w:type="gramEnd"/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16) Доля участия выражается в процентах от уставного капитала. Для акционерных обществ указываются также номинальная стоимость и количество акций. 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(17)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(18) 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(19)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(20) Указываются по состоянию на отчетную дату.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(21) Указывается вид недвижимого имущества (земельный участок, жилой дом, дача и другие).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(22) Указываются вид пользования (аренда, безвозмездное пользование и другие) и сроки пользования.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(23) Указываются основание пользование (договор, фактическое предоставление и другие), а также реквизиты (дата, номер) соответствующего договора или акта.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(24) Указываются имеющиеся на отчетную дату срочные обязательства финансового характера на сумму, равную или превышающую 500000 руб., кредитором или должником по которым является лицо, сведения об обязательствах которого представляются.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(25) Указывается существо обязательства (заем, кредит и другие).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(26) Указывается вторая сторона обязательства: кредитор или должник. Его фамилия, имя и отчество (наименование юридического лица), </w:t>
      </w:r>
      <w:proofErr w:type="gramStart"/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</w:t>
      </w:r>
      <w:proofErr w:type="gramEnd"/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t>27) Указываются основание возникновения обязательства, а также реквизиты (дата, номер)соответствующего договора или акта.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(28)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971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(29)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 </w:t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7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F7F7B" w:rsidRDefault="00DF7F7B" w:rsidP="00E31A77">
      <w:pPr>
        <w:jc w:val="both"/>
      </w:pPr>
    </w:p>
    <w:sectPr w:rsidR="00DF7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07969"/>
    <w:multiLevelType w:val="multilevel"/>
    <w:tmpl w:val="F92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62FEE"/>
    <w:multiLevelType w:val="multilevel"/>
    <w:tmpl w:val="D58E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C3A9F"/>
    <w:multiLevelType w:val="multilevel"/>
    <w:tmpl w:val="5A2A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D176D"/>
    <w:multiLevelType w:val="multilevel"/>
    <w:tmpl w:val="B840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F51E1"/>
    <w:multiLevelType w:val="multilevel"/>
    <w:tmpl w:val="EE3E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B101F"/>
    <w:multiLevelType w:val="multilevel"/>
    <w:tmpl w:val="4A24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C26D1"/>
    <w:multiLevelType w:val="multilevel"/>
    <w:tmpl w:val="AA94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B40D8"/>
    <w:multiLevelType w:val="multilevel"/>
    <w:tmpl w:val="E066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9B"/>
    <w:rsid w:val="0014701E"/>
    <w:rsid w:val="003E6117"/>
    <w:rsid w:val="00966DE2"/>
    <w:rsid w:val="00971009"/>
    <w:rsid w:val="00B5053A"/>
    <w:rsid w:val="00B5308F"/>
    <w:rsid w:val="00BB29CE"/>
    <w:rsid w:val="00D11CBF"/>
    <w:rsid w:val="00DF7F7B"/>
    <w:rsid w:val="00E31A77"/>
    <w:rsid w:val="00E4569B"/>
    <w:rsid w:val="00E92DB7"/>
    <w:rsid w:val="00E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B7D5B-AB52-4BDE-AD22-1B4A7670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7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F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7F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DF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F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F7F7B"/>
    <w:rPr>
      <w:color w:val="0000FF"/>
      <w:u w:val="single"/>
    </w:rPr>
  </w:style>
  <w:style w:type="paragraph" w:customStyle="1" w:styleId="copytitle">
    <w:name w:val="copytitle"/>
    <w:basedOn w:val="a"/>
    <w:rsid w:val="00DF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F7B"/>
    <w:rPr>
      <w:b/>
      <w:bCs/>
    </w:rPr>
  </w:style>
  <w:style w:type="paragraph" w:customStyle="1" w:styleId="copyright">
    <w:name w:val="copyright"/>
    <w:basedOn w:val="a"/>
    <w:rsid w:val="00DF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1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4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13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55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30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5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41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7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63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20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57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35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23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52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86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7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12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34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46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58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15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2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56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4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45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3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75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7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9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8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2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627090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0766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2135263" TargetMode="External"/><Relationship Id="rId10" Type="http://schemas.openxmlformats.org/officeDocument/2006/relationships/hyperlink" Target="http://docs.cntd.ru/document/4990183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35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2016-06-09T12:09:00Z</cp:lastPrinted>
  <dcterms:created xsi:type="dcterms:W3CDTF">2016-04-21T17:42:00Z</dcterms:created>
  <dcterms:modified xsi:type="dcterms:W3CDTF">2016-06-09T12:09:00Z</dcterms:modified>
</cp:coreProperties>
</file>